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59a445a652f4e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2997" w14:textId="77777777"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75BE6532" wp14:editId="243D2866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E4852" w14:textId="77777777" w:rsidR="007504BE" w:rsidRPr="007504BE" w:rsidRDefault="0065058C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>
        <w:rPr>
          <w:rFonts w:ascii="Arial" w:hAnsi="Arial" w:hint="eastAsia"/>
          <w:b/>
          <w:sz w:val="34"/>
          <w:szCs w:val="34"/>
        </w:rPr>
        <w:t>唯</w:t>
      </w:r>
      <w:proofErr w:type="gramStart"/>
      <w:r>
        <w:rPr>
          <w:rFonts w:ascii="Arial" w:hAnsi="Arial" w:hint="eastAsia"/>
          <w:b/>
          <w:sz w:val="34"/>
          <w:szCs w:val="34"/>
        </w:rPr>
        <w:t>特</w:t>
      </w:r>
      <w:proofErr w:type="gramEnd"/>
      <w:r>
        <w:rPr>
          <w:rFonts w:ascii="Arial" w:hAnsi="Arial" w:hint="eastAsia"/>
          <w:b/>
          <w:sz w:val="34"/>
          <w:szCs w:val="34"/>
        </w:rPr>
        <w:t>水性除油剂</w:t>
      </w:r>
      <w:r w:rsidR="00A235E7">
        <w:rPr>
          <w:rFonts w:ascii="Arial" w:hAnsi="Arial" w:hint="eastAsia"/>
          <w:b/>
          <w:sz w:val="34"/>
          <w:szCs w:val="34"/>
        </w:rPr>
        <w:t>（无磷配方）</w:t>
      </w:r>
    </w:p>
    <w:p w14:paraId="651929AF" w14:textId="77777777" w:rsidR="002E0EDE" w:rsidRPr="00EB7C9C" w:rsidRDefault="0065058C" w:rsidP="007504BE">
      <w:pPr>
        <w:spacing w:line="280" w:lineRule="exact"/>
        <w:ind w:firstLineChars="490" w:firstLine="1082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bCs/>
          <w:sz w:val="22"/>
        </w:rPr>
        <w:t>Vivid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 w:hint="eastAsia"/>
          <w:b/>
          <w:bCs/>
          <w:sz w:val="22"/>
        </w:rPr>
        <w:t>Aqueous-based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 w:hint="eastAsia"/>
          <w:b/>
          <w:bCs/>
          <w:sz w:val="22"/>
        </w:rPr>
        <w:t>Degrease</w:t>
      </w:r>
      <w:r w:rsidR="00A235E7">
        <w:rPr>
          <w:rFonts w:ascii="Arial" w:hAnsi="Arial" w:cs="Arial" w:hint="eastAsia"/>
          <w:b/>
          <w:bCs/>
          <w:sz w:val="22"/>
        </w:rPr>
        <w:t>（</w:t>
      </w:r>
      <w:r w:rsidR="00A235E7">
        <w:rPr>
          <w:rFonts w:ascii="Arial" w:hAnsi="Arial" w:cs="Arial" w:hint="eastAsia"/>
          <w:b/>
          <w:bCs/>
          <w:sz w:val="22"/>
        </w:rPr>
        <w:t>Non-phosphorus</w:t>
      </w:r>
      <w:r w:rsidR="00A235E7">
        <w:rPr>
          <w:rFonts w:ascii="Arial" w:hAnsi="Arial" w:cs="Arial" w:hint="eastAsia"/>
          <w:b/>
          <w:bCs/>
          <w:sz w:val="22"/>
        </w:rPr>
        <w:t>）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</w:p>
    <w:p w14:paraId="11610BBF" w14:textId="77777777"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 wp14:anchorId="5943A6FF" wp14:editId="136A6B97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C6AD0" w14:textId="77777777"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 wp14:anchorId="74AE495B" wp14:editId="5D412F87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14:paraId="1E6A91E5" w14:textId="77777777"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14:paraId="796BB9FB" w14:textId="2DD38EDD" w:rsidR="007504BE" w:rsidRDefault="00705A51" w:rsidP="00705A51">
      <w:pPr>
        <w:spacing w:beforeLines="50" w:before="156"/>
        <w:ind w:leftChars="720" w:left="1512" w:firstLineChars="200" w:firstLine="360"/>
        <w:jc w:val="left"/>
        <w:rPr>
          <w:rFonts w:ascii="Arial" w:hAnsi="Arial"/>
          <w:sz w:val="18"/>
          <w:szCs w:val="18"/>
        </w:rPr>
      </w:pPr>
      <w:r w:rsidRPr="00705A51">
        <w:rPr>
          <w:rFonts w:ascii="Arial" w:hAnsi="Arial" w:hint="eastAsia"/>
          <w:sz w:val="18"/>
          <w:szCs w:val="18"/>
        </w:rPr>
        <w:t>唯</w:t>
      </w:r>
      <w:proofErr w:type="gramStart"/>
      <w:r w:rsidRPr="00705A51">
        <w:rPr>
          <w:rFonts w:ascii="Arial" w:hAnsi="Arial" w:hint="eastAsia"/>
          <w:sz w:val="18"/>
          <w:szCs w:val="18"/>
        </w:rPr>
        <w:t>特</w:t>
      </w:r>
      <w:proofErr w:type="gramEnd"/>
      <w:r w:rsidRPr="00705A51">
        <w:rPr>
          <w:rFonts w:ascii="Arial" w:hAnsi="Arial" w:hint="eastAsia"/>
          <w:sz w:val="18"/>
          <w:szCs w:val="18"/>
        </w:rPr>
        <w:t>水性除油剂是一种采用独特的表面活性剂复配技术配制的除油剂，能快速除去硬表面上的矿物油、</w:t>
      </w:r>
      <w:r>
        <w:rPr>
          <w:rFonts w:ascii="Arial" w:hAnsi="Arial" w:hint="eastAsia"/>
          <w:sz w:val="18"/>
          <w:szCs w:val="18"/>
        </w:rPr>
        <w:t>动植物油脂及其他污垢。适合混凝</w:t>
      </w:r>
      <w:r w:rsidRPr="00705A51">
        <w:rPr>
          <w:rFonts w:ascii="Arial" w:hAnsi="Arial" w:hint="eastAsia"/>
          <w:sz w:val="18"/>
          <w:szCs w:val="18"/>
        </w:rPr>
        <w:t>土、石材、树脂和弹性地面的去污，以及铝、不锈钢、不锈铁、镀锌钢板等金属表面的脱脂；可专用于机械表面和加工件的脱脂，飞机表面、汽车、火车以及工厂地面的清洗。本品也可用于家庭</w:t>
      </w:r>
      <w:r w:rsidR="002E36A4">
        <w:rPr>
          <w:rFonts w:ascii="Arial" w:hAnsi="Arial" w:hint="eastAsia"/>
          <w:sz w:val="18"/>
          <w:szCs w:val="18"/>
        </w:rPr>
        <w:t>硬</w:t>
      </w:r>
      <w:r w:rsidRPr="00705A51">
        <w:rPr>
          <w:rFonts w:ascii="Arial" w:hAnsi="Arial" w:hint="eastAsia"/>
          <w:sz w:val="18"/>
          <w:szCs w:val="18"/>
        </w:rPr>
        <w:t>表面的清洗</w:t>
      </w:r>
      <w:r>
        <w:rPr>
          <w:rFonts w:ascii="Arial" w:hAnsi="Arial" w:hint="eastAsia"/>
          <w:sz w:val="18"/>
          <w:szCs w:val="18"/>
        </w:rPr>
        <w:t>。</w:t>
      </w:r>
      <w:r w:rsidR="00A235E7">
        <w:rPr>
          <w:rFonts w:ascii="Arial" w:hAnsi="Arial" w:hint="eastAsia"/>
          <w:sz w:val="18"/>
          <w:szCs w:val="18"/>
        </w:rPr>
        <w:t>产品不含磷，绿色环保。</w:t>
      </w:r>
    </w:p>
    <w:p w14:paraId="34CAD070" w14:textId="77777777"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 wp14:anchorId="28C93778" wp14:editId="4A61BFE0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14:paraId="63AB3512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3A1FF252" w14:textId="77777777" w:rsidR="007504BE" w:rsidRPr="007504BE" w:rsidRDefault="00705A51" w:rsidP="007504BE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铝、不锈钢、不锈铁、镀锌钢板等金属表面及石材、塑胶和混凝土地面</w:t>
      </w:r>
      <w:r w:rsidR="007D02B4" w:rsidRPr="007D02B4">
        <w:rPr>
          <w:rFonts w:ascii="Arial" w:hAnsi="Arial" w:hint="eastAsia"/>
          <w:sz w:val="18"/>
          <w:szCs w:val="18"/>
        </w:rPr>
        <w:t>。</w:t>
      </w:r>
    </w:p>
    <w:p w14:paraId="769FF426" w14:textId="77777777"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 wp14:anchorId="230AC094" wp14:editId="6E8ABD30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14:paraId="71665721" w14:textId="77777777"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f"/>
        <w:tblW w:w="6476" w:type="dxa"/>
        <w:tblInd w:w="1809" w:type="dxa"/>
        <w:tblLook w:val="04A0" w:firstRow="1" w:lastRow="0" w:firstColumn="1" w:lastColumn="0" w:noHBand="0" w:noVBand="1"/>
      </w:tblPr>
      <w:tblGrid>
        <w:gridCol w:w="2112"/>
        <w:gridCol w:w="4364"/>
      </w:tblGrid>
      <w:tr w:rsidR="007504BE" w:rsidRPr="00AE7A90" w14:paraId="0A0CE069" w14:textId="77777777" w:rsidTr="00F43DE7">
        <w:trPr>
          <w:trHeight w:val="285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297A9B" w14:textId="77777777"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85182A0" w14:textId="77777777"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14:paraId="7CADFE24" w14:textId="77777777" w:rsidTr="00F43DE7">
        <w:trPr>
          <w:trHeight w:val="209"/>
        </w:trPr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B09DD09" w14:textId="77777777" w:rsidR="007D02B4" w:rsidRPr="00AF38CA" w:rsidRDefault="007D02B4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4716149" w14:textId="77777777" w:rsidR="007D02B4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淡黄色透明</w:t>
            </w:r>
            <w:r w:rsidR="00B55455"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液体</w:t>
            </w: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不</w:t>
            </w:r>
            <w:proofErr w:type="gramEnd"/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分层</w:t>
            </w:r>
          </w:p>
        </w:tc>
      </w:tr>
      <w:tr w:rsidR="007D02B4" w:rsidRPr="00AE7A90" w14:paraId="067F9755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FB9600" w14:textId="77777777" w:rsidR="007D02B4" w:rsidRPr="00AF38CA" w:rsidRDefault="00B55455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气味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B65FA3" w14:textId="77777777" w:rsidR="007D02B4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无异味</w:t>
            </w:r>
          </w:p>
        </w:tc>
      </w:tr>
      <w:tr w:rsidR="00705A51" w:rsidRPr="00AE7A90" w14:paraId="4541049A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DD444F" w14:textId="77777777" w:rsidR="00705A51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927FE3" w14:textId="77777777" w:rsidR="00705A51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2～5℃放置24h无结晶，无沉淀</w:t>
            </w:r>
          </w:p>
        </w:tc>
      </w:tr>
      <w:tr w:rsidR="00705A51" w:rsidRPr="00AE7A90" w14:paraId="45DEFB0C" w14:textId="77777777" w:rsidTr="00F43DE7">
        <w:trPr>
          <w:trHeight w:val="202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5A5951" w14:textId="77777777" w:rsidR="00705A51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  <w:r w:rsidR="00EB2FE4">
              <w:rPr>
                <w:rFonts w:asciiTheme="minorEastAsia" w:eastAsiaTheme="minorEastAsia" w:hAnsiTheme="minorEastAsia" w:hint="eastAsia"/>
                <w:sz w:val="18"/>
                <w:szCs w:val="18"/>
              </w:rPr>
              <w:t>（3%水溶液，25℃）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215C4F" w14:textId="77777777" w:rsidR="00705A51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41E59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="00E41E59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705A51" w:rsidRPr="00AE7A90" w14:paraId="3D528FA9" w14:textId="77777777" w:rsidTr="00F43DE7">
        <w:trPr>
          <w:trHeight w:val="209"/>
        </w:trPr>
        <w:tc>
          <w:tcPr>
            <w:tcW w:w="2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51C59E" w14:textId="77777777" w:rsidR="00705A51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粘度</w:t>
            </w:r>
            <w:proofErr w:type="spellStart"/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mPa.s</w:t>
            </w:r>
            <w:proofErr w:type="spellEnd"/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(25℃)</w:t>
            </w:r>
          </w:p>
        </w:tc>
        <w:tc>
          <w:tcPr>
            <w:tcW w:w="43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16F219" w14:textId="77777777" w:rsidR="00705A51" w:rsidRPr="00AF38CA" w:rsidRDefault="00705A51" w:rsidP="00AF38C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38CA">
              <w:rPr>
                <w:rFonts w:asciiTheme="minorEastAsia" w:eastAsiaTheme="minorEastAsia" w:hAnsiTheme="minorEastAsia" w:hint="eastAsia"/>
                <w:sz w:val="18"/>
                <w:szCs w:val="18"/>
              </w:rPr>
              <w:t>≤10</w:t>
            </w:r>
            <w:r w:rsidR="00E41E59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</w:tbl>
    <w:p w14:paraId="235E136C" w14:textId="77777777"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 wp14:anchorId="5B88C8F5" wp14:editId="299235D9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14:paraId="6B1BE595" w14:textId="77777777"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14:paraId="28436CAE" w14:textId="77777777"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推荐方法</w:t>
      </w:r>
      <w:r>
        <w:rPr>
          <w:rFonts w:ascii="Arial" w:hAnsi="Arial" w:hint="eastAsia"/>
          <w:sz w:val="18"/>
          <w:szCs w:val="18"/>
        </w:rPr>
        <w:t>：</w:t>
      </w:r>
    </w:p>
    <w:p w14:paraId="3DAD2A40" w14:textId="77777777" w:rsidR="00EA5620" w:rsidRDefault="00705A51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对于机械加工件，采用喷淋或浸渍方法清洗：喷淋按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50</w:t>
      </w:r>
      <w:r>
        <w:rPr>
          <w:rFonts w:ascii="Arial" w:hAnsi="Arial" w:hint="eastAsia"/>
          <w:sz w:val="18"/>
          <w:szCs w:val="18"/>
        </w:rPr>
        <w:t>稀释使用，浸渍按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5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10</w:t>
      </w:r>
      <w:r>
        <w:rPr>
          <w:rFonts w:ascii="Arial" w:hAnsi="Arial" w:hint="eastAsia"/>
          <w:sz w:val="18"/>
          <w:szCs w:val="18"/>
        </w:rPr>
        <w:t>稀释使用</w:t>
      </w:r>
      <w:r w:rsidR="00EA5620">
        <w:rPr>
          <w:rFonts w:ascii="Arial" w:hAnsi="Arial" w:hint="eastAsia"/>
          <w:sz w:val="18"/>
          <w:szCs w:val="18"/>
        </w:rPr>
        <w:t>。</w:t>
      </w:r>
    </w:p>
    <w:p w14:paraId="373AA753" w14:textId="77777777" w:rsidR="005C0A97" w:rsidRDefault="005C0A97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1 </w:t>
      </w:r>
      <w:r>
        <w:rPr>
          <w:rFonts w:ascii="Arial" w:hAnsi="Arial" w:hint="eastAsia"/>
          <w:sz w:val="18"/>
          <w:szCs w:val="18"/>
        </w:rPr>
        <w:t>用于汽车、火车及飞机表面的清洗，按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40</w:t>
      </w:r>
      <w:r>
        <w:rPr>
          <w:rFonts w:ascii="Arial" w:hAnsi="Arial" w:hint="eastAsia"/>
          <w:sz w:val="18"/>
          <w:szCs w:val="18"/>
        </w:rPr>
        <w:t>稀释使用；</w:t>
      </w:r>
    </w:p>
    <w:p w14:paraId="6031FF54" w14:textId="77777777" w:rsidR="005C0A97" w:rsidRDefault="005C0A97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2 </w:t>
      </w:r>
      <w:r>
        <w:rPr>
          <w:rFonts w:ascii="Arial" w:hAnsi="Arial" w:hint="eastAsia"/>
          <w:sz w:val="18"/>
          <w:szCs w:val="18"/>
        </w:rPr>
        <w:t>用于工业地面的清洗，视油污程度，按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10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60</w:t>
      </w:r>
      <w:r>
        <w:rPr>
          <w:rFonts w:ascii="Arial" w:hAnsi="Arial" w:hint="eastAsia"/>
          <w:sz w:val="18"/>
          <w:szCs w:val="18"/>
        </w:rPr>
        <w:t>稀释使用；</w:t>
      </w:r>
    </w:p>
    <w:p w14:paraId="791D3418" w14:textId="77777777" w:rsidR="005C0A97" w:rsidRPr="005C0A97" w:rsidRDefault="005C0A97" w:rsidP="00EA5620">
      <w:pPr>
        <w:ind w:leftChars="645" w:left="1354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3 </w:t>
      </w:r>
      <w:r>
        <w:rPr>
          <w:rFonts w:ascii="Arial" w:hAnsi="Arial" w:hint="eastAsia"/>
          <w:sz w:val="18"/>
          <w:szCs w:val="18"/>
        </w:rPr>
        <w:t>地坪上蜡前，与蓝色强力除蜡水、通用清洁剂（按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5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2</w:t>
      </w:r>
      <w:r>
        <w:rPr>
          <w:rFonts w:ascii="Arial" w:hAnsi="Arial" w:hint="eastAsia"/>
          <w:sz w:val="18"/>
          <w:szCs w:val="18"/>
        </w:rPr>
        <w:t>比例，</w:t>
      </w:r>
      <w:proofErr w:type="gramStart"/>
      <w:r>
        <w:rPr>
          <w:rFonts w:ascii="Arial" w:hAnsi="Arial" w:hint="eastAsia"/>
          <w:sz w:val="18"/>
          <w:szCs w:val="18"/>
        </w:rPr>
        <w:t>视旧蜡</w:t>
      </w:r>
      <w:proofErr w:type="gramEnd"/>
      <w:r>
        <w:rPr>
          <w:rFonts w:ascii="Arial" w:hAnsi="Arial" w:hint="eastAsia"/>
          <w:sz w:val="18"/>
          <w:szCs w:val="18"/>
        </w:rPr>
        <w:t>和油污情况）复配，再用水（按清洁剂总量：水</w:t>
      </w:r>
      <w:r>
        <w:rPr>
          <w:rFonts w:ascii="Arial" w:hAnsi="Arial" w:hint="eastAsia"/>
          <w:sz w:val="18"/>
          <w:szCs w:val="18"/>
        </w:rPr>
        <w:t>=1</w:t>
      </w:r>
      <w:r>
        <w:rPr>
          <w:rFonts w:ascii="Arial" w:hAnsi="Arial" w:hint="eastAsia"/>
          <w:sz w:val="18"/>
          <w:szCs w:val="18"/>
        </w:rPr>
        <w:t>：</w:t>
      </w:r>
      <w:r>
        <w:rPr>
          <w:rFonts w:ascii="Arial" w:hAnsi="Arial" w:hint="eastAsia"/>
          <w:sz w:val="18"/>
          <w:szCs w:val="18"/>
        </w:rPr>
        <w:t>10</w:t>
      </w:r>
      <w:r>
        <w:rPr>
          <w:rFonts w:ascii="Arial" w:hAnsi="Arial" w:hint="eastAsia"/>
          <w:sz w:val="18"/>
          <w:szCs w:val="18"/>
        </w:rPr>
        <w:t>～</w:t>
      </w:r>
      <w:r>
        <w:rPr>
          <w:rFonts w:ascii="Arial" w:hAnsi="Arial" w:hint="eastAsia"/>
          <w:sz w:val="18"/>
          <w:szCs w:val="18"/>
        </w:rPr>
        <w:t>20</w:t>
      </w:r>
      <w:r>
        <w:rPr>
          <w:rFonts w:ascii="Arial" w:hAnsi="Arial" w:hint="eastAsia"/>
          <w:sz w:val="18"/>
          <w:szCs w:val="18"/>
        </w:rPr>
        <w:t>）稀释使用，除蜡、清洁效果更佳。</w:t>
      </w:r>
    </w:p>
    <w:p w14:paraId="70648336" w14:textId="77777777"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14:paraId="5B0AB09E" w14:textId="77777777" w:rsidR="00D30100" w:rsidRPr="00D30100" w:rsidRDefault="005C0A97" w:rsidP="00E622B8">
      <w:pPr>
        <w:ind w:leftChars="622" w:left="1306"/>
        <w:jc w:val="left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40</w:t>
      </w:r>
      <w:r>
        <w:rPr>
          <w:rFonts w:ascii="Arial" w:hAnsi="Arial" w:hint="eastAsia"/>
          <w:sz w:val="18"/>
          <w:szCs w:val="18"/>
        </w:rPr>
        <w:t>℃～</w:t>
      </w:r>
      <w:r>
        <w:rPr>
          <w:rFonts w:ascii="Arial" w:hAnsi="Arial" w:hint="eastAsia"/>
          <w:sz w:val="18"/>
          <w:szCs w:val="18"/>
        </w:rPr>
        <w:t>50</w:t>
      </w:r>
      <w:r>
        <w:rPr>
          <w:rFonts w:ascii="Arial" w:hAnsi="Arial" w:hint="eastAsia"/>
          <w:sz w:val="18"/>
          <w:szCs w:val="18"/>
        </w:rPr>
        <w:t>℃使用效果更佳，请勿高于</w:t>
      </w:r>
      <w:r>
        <w:rPr>
          <w:rFonts w:ascii="Arial" w:hAnsi="Arial" w:hint="eastAsia"/>
          <w:sz w:val="18"/>
          <w:szCs w:val="18"/>
        </w:rPr>
        <w:t>60</w:t>
      </w:r>
      <w:r>
        <w:rPr>
          <w:rFonts w:ascii="Arial" w:hAnsi="Arial" w:hint="eastAsia"/>
          <w:sz w:val="18"/>
          <w:szCs w:val="18"/>
        </w:rPr>
        <w:t>℃使用；请勿接触眼睛，避免儿童接触；若不慎溅入眼睛，请用大量水清洗，使用时戴橡胶手套，流水线操作，若泡沫过多可酌情添加消泡剂</w:t>
      </w:r>
      <w:r w:rsidR="00D30100">
        <w:rPr>
          <w:rFonts w:ascii="Arial" w:hAnsi="Arial" w:hint="eastAsia"/>
          <w:sz w:val="18"/>
          <w:szCs w:val="18"/>
        </w:rPr>
        <w:t>。</w:t>
      </w:r>
    </w:p>
    <w:p w14:paraId="44267CEF" w14:textId="77777777"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69288D50" wp14:editId="53C21AD7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14:paraId="1393A702" w14:textId="77777777"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14:paraId="227AA476" w14:textId="77777777"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716DCC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14:paraId="56040733" w14:textId="77777777"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14:paraId="7395228A" w14:textId="77777777"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588C8FB5" wp14:editId="2371F849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664EC0B7" wp14:editId="76440F28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14:paraId="3B5B015E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2D504918" w14:textId="77777777"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14:paraId="7C10DE4E" w14:textId="77777777" w:rsidR="00BA5621" w:rsidRDefault="00895031" w:rsidP="00716DCC">
      <w:pPr>
        <w:ind w:firstLineChars="850" w:firstLine="153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</w:p>
    <w:p w14:paraId="2E2D4635" w14:textId="77777777" w:rsidR="00AF38CA" w:rsidRDefault="00AF38CA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19EB1A13" w14:textId="77777777" w:rsidR="00AF38CA" w:rsidRDefault="00AF38CA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6B5414EE" w14:textId="77777777" w:rsidR="00B55455" w:rsidRDefault="00B55455" w:rsidP="00716DCC">
      <w:pPr>
        <w:ind w:firstLineChars="850" w:firstLine="1530"/>
        <w:rPr>
          <w:rFonts w:ascii="Arial" w:hAnsi="Arial"/>
          <w:sz w:val="18"/>
          <w:szCs w:val="18"/>
        </w:rPr>
      </w:pPr>
    </w:p>
    <w:p w14:paraId="13B3D9FC" w14:textId="77777777" w:rsidR="0068028E" w:rsidRPr="0074477F" w:rsidRDefault="00792D52" w:rsidP="006B7C2C">
      <w:pPr>
        <w:ind w:firstLineChars="200" w:firstLine="36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2C067A34" wp14:editId="0F8ADC5C">
            <wp:simplePos x="0" y="0"/>
            <wp:positionH relativeFrom="column">
              <wp:posOffset>-777240</wp:posOffset>
            </wp:positionH>
            <wp:positionV relativeFrom="paragraph">
              <wp:posOffset>368300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sectPr w:rsidRPr="0074477F" w:rsidR="0068028E" w:rsidSect="00D27250">
      <w:headerReference w:type="default" r:id="rId14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E7193" w14:textId="77777777" w:rsidR="001F35A9" w:rsidRDefault="001F35A9" w:rsidP="0068028E">
      <w:r>
        <w:separator/>
      </w:r>
    </w:p>
  </w:endnote>
  <w:endnote w:type="continuationSeparator" w:id="0">
    <w:p w14:paraId="55A92EB4" w14:textId="77777777" w:rsidR="001F35A9" w:rsidRDefault="001F35A9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EC7E" w14:textId="77777777" w:rsidR="001F35A9" w:rsidRDefault="001F35A9" w:rsidP="0068028E">
      <w:r>
        <w:separator/>
      </w:r>
    </w:p>
  </w:footnote>
  <w:footnote w:type="continuationSeparator" w:id="0">
    <w:p w14:paraId="2C96AEAA" w14:textId="77777777" w:rsidR="001F35A9" w:rsidRDefault="001F35A9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A0"/>
    <w:rsid w:val="00015A44"/>
    <w:rsid w:val="00030C79"/>
    <w:rsid w:val="0009652B"/>
    <w:rsid w:val="000F7BA0"/>
    <w:rsid w:val="000F7DDE"/>
    <w:rsid w:val="00122F0F"/>
    <w:rsid w:val="001721EC"/>
    <w:rsid w:val="00195219"/>
    <w:rsid w:val="001C4897"/>
    <w:rsid w:val="001D711E"/>
    <w:rsid w:val="001F35A9"/>
    <w:rsid w:val="00217F70"/>
    <w:rsid w:val="00236654"/>
    <w:rsid w:val="002467BC"/>
    <w:rsid w:val="00250E85"/>
    <w:rsid w:val="00267A3C"/>
    <w:rsid w:val="002B6545"/>
    <w:rsid w:val="002C24A6"/>
    <w:rsid w:val="002C282F"/>
    <w:rsid w:val="002C358B"/>
    <w:rsid w:val="002D2C43"/>
    <w:rsid w:val="002E0EDE"/>
    <w:rsid w:val="002E36A4"/>
    <w:rsid w:val="003858B1"/>
    <w:rsid w:val="003A3B20"/>
    <w:rsid w:val="003D5944"/>
    <w:rsid w:val="003E2820"/>
    <w:rsid w:val="00432569"/>
    <w:rsid w:val="0045473E"/>
    <w:rsid w:val="004721C3"/>
    <w:rsid w:val="0047320F"/>
    <w:rsid w:val="004F160B"/>
    <w:rsid w:val="004F3EFC"/>
    <w:rsid w:val="005616B1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436E"/>
    <w:rsid w:val="006B7C2C"/>
    <w:rsid w:val="006C1B2C"/>
    <w:rsid w:val="00705A51"/>
    <w:rsid w:val="00713190"/>
    <w:rsid w:val="00716DCC"/>
    <w:rsid w:val="0074477F"/>
    <w:rsid w:val="007504BE"/>
    <w:rsid w:val="007530FE"/>
    <w:rsid w:val="007670E9"/>
    <w:rsid w:val="00780593"/>
    <w:rsid w:val="007842E0"/>
    <w:rsid w:val="00792D52"/>
    <w:rsid w:val="007A23FD"/>
    <w:rsid w:val="007D02B4"/>
    <w:rsid w:val="007F2C9C"/>
    <w:rsid w:val="00852F02"/>
    <w:rsid w:val="00870EE9"/>
    <w:rsid w:val="00883E4F"/>
    <w:rsid w:val="00895031"/>
    <w:rsid w:val="008A6B51"/>
    <w:rsid w:val="00903A43"/>
    <w:rsid w:val="00955029"/>
    <w:rsid w:val="009B142B"/>
    <w:rsid w:val="009C50D2"/>
    <w:rsid w:val="00A20743"/>
    <w:rsid w:val="00A22849"/>
    <w:rsid w:val="00A235E7"/>
    <w:rsid w:val="00A53309"/>
    <w:rsid w:val="00A60C23"/>
    <w:rsid w:val="00A963BB"/>
    <w:rsid w:val="00AB09E3"/>
    <w:rsid w:val="00AE7A90"/>
    <w:rsid w:val="00AF38CA"/>
    <w:rsid w:val="00B040A3"/>
    <w:rsid w:val="00B15BCB"/>
    <w:rsid w:val="00B222FE"/>
    <w:rsid w:val="00B25CAE"/>
    <w:rsid w:val="00B55455"/>
    <w:rsid w:val="00B61302"/>
    <w:rsid w:val="00B759D8"/>
    <w:rsid w:val="00B8112F"/>
    <w:rsid w:val="00B84FD3"/>
    <w:rsid w:val="00BA5429"/>
    <w:rsid w:val="00BA5621"/>
    <w:rsid w:val="00BE44B6"/>
    <w:rsid w:val="00BF78F0"/>
    <w:rsid w:val="00C3046D"/>
    <w:rsid w:val="00C34E76"/>
    <w:rsid w:val="00C61C5E"/>
    <w:rsid w:val="00C703C9"/>
    <w:rsid w:val="00CC7212"/>
    <w:rsid w:val="00CF34CA"/>
    <w:rsid w:val="00D0434D"/>
    <w:rsid w:val="00D30100"/>
    <w:rsid w:val="00D658B5"/>
    <w:rsid w:val="00D73DA8"/>
    <w:rsid w:val="00DB12BB"/>
    <w:rsid w:val="00DC348E"/>
    <w:rsid w:val="00E41E59"/>
    <w:rsid w:val="00E622B8"/>
    <w:rsid w:val="00EA5620"/>
    <w:rsid w:val="00EB2FE4"/>
    <w:rsid w:val="00EB7C9C"/>
    <w:rsid w:val="00EE468E"/>
    <w:rsid w:val="00F01F1A"/>
    <w:rsid w:val="00F43DE7"/>
    <w:rsid w:val="00F730B7"/>
    <w:rsid w:val="00F86564"/>
    <w:rsid w:val="00FA4FAF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3B512"/>
  <w15:docId w15:val="{872047F0-A5E2-418A-B260-481E249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68028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a">
    <w:name w:val="Body Text"/>
    <w:basedOn w:val="a0"/>
    <w:link w:val="ab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ab">
    <w:name w:val="正文文本 字符"/>
    <w:basedOn w:val="a1"/>
    <w:link w:val="aa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c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d">
    <w:name w:val="No Spacing"/>
    <w:link w:val="ae"/>
    <w:uiPriority w:val="1"/>
    <w:qFormat/>
    <w:rsid w:val="004F3EFC"/>
    <w:rPr>
      <w:kern w:val="0"/>
      <w:sz w:val="22"/>
    </w:rPr>
  </w:style>
  <w:style w:type="character" w:customStyle="1" w:styleId="ae">
    <w:name w:val="无间隔 字符"/>
    <w:basedOn w:val="a1"/>
    <w:link w:val="ad"/>
    <w:uiPriority w:val="1"/>
    <w:rsid w:val="004F3EFC"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f">
    <w:name w:val="Table Grid"/>
    <w:basedOn w:val="a2"/>
    <w:uiPriority w:val="59"/>
    <w:rsid w:val="00AE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/word/header2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</dc:creator>
  <cp:lastModifiedBy>王 先生</cp:lastModifiedBy>
  <cp:revision>5</cp:revision>
  <cp:lastPrinted>2019-09-11T03:26:00Z</cp:lastPrinted>
  <dcterms:created xsi:type="dcterms:W3CDTF">2019-09-11T03:25:00Z</dcterms:created>
  <dcterms:modified xsi:type="dcterms:W3CDTF">2020-11-10T02:36:00Z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[DocID]=EB243968-F44A-486C-9D1E-6DA239BB14DB</vt:lpwstr>
  </op:property>
  <op:property fmtid="{D5CDD505-2E9C-101B-9397-08002B2CF9AE}" pid="3" name="_IPGFLOW_P-F011_E-1_FP-1_SP-1_CV-44D8AB5D_CN-8C0755B">
    <vt:lpwstr>ojLC4jhyOifJNIIpFLZvrmtnkGtNJoJL9TBJMOidBhhb/oupEPox2MQtHM+p7hsuDqbZdbv5PFmzFZcBaCU9NGwI783JsRF9whwWW/sJ32wlrJNh4Ed5NYfzAZdhryq4yKvMoNJFWFJWMp3ZpLL6oy7goysKRY5Lhhrjq8l1hun9pd6uW1bGI1J4UEMmc0R+y0UbNM2TGiqJMD4DuOAF2AFt34s13io7GYa+xprwKrzA3BExMkwwVDwUhnBDSqQ</vt:lpwstr>
  </op:property>
  <op:property fmtid="{D5CDD505-2E9C-101B-9397-08002B2CF9AE}" pid="4" name="_IPGFLOW_P-F011_E-1_FP-1_SP-2_CV-6195C3BB_CN-9C1C6B09">
    <vt:lpwstr>JECfncbfHx+ZbYgFqL0s0mKe7fRDGGWD78IdrdKkSnL9o22W4MT6oxj+Lg+ZGh1QnGOjSkTZMr5dMGTqT27tnctWXvECFnubZQxzdrCayL4u/c9Ly65//UB14l0C7HIenFoCqyGP5d6U4/ZpMS4l2iW5cAAlT+DL1and/zlGKBW5XdcgXudU/+t81uWaZP/0zrgaGN7m6+wINy8EsCDY7Z3gumkk7SBp07GBkmJh0TfkkAh+k/mPmfI4QZY3ppK</vt:lpwstr>
  </op:property>
  <op:property fmtid="{D5CDD505-2E9C-101B-9397-08002B2CF9AE}" pid="5" name="_IPGFLOW_P-F011_E-1_FP-1_SP-3_CV-7E0ADD1F_CN-714CF9AD">
    <vt:lpwstr>+nZ4JcnHIWVKvyATaD59Frhl9ZfqRmXQRZLquKuPBFzHFOcrjtI1h7cL9YfkzXv3uFxcxfDYUuIOLMnP+z4nKdvA==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8CF67F84_CN-7FE2789A">
    <vt:lpwstr>H5LPFtbhUX13oLtdz3+W/QAyupBqA4+yjMJH3rZHY9HfLF0TuQo9Xm44YMw/DIKVZWwgTM+d3fLnFOFNGiEkWzSjSEREnZGqSOAfVSouSpDZ7krjRAqiGo/YeX9JvCUWI0/SxDY8/SBXs4+OrWXmOZcJZh/xDakQZRKTG5hu3pxgGk9st4vd5Q8ywmMULsrcO0hZZBNLTbzoxoxhRZPdmraaGt7rFNC4nvKKyrFRFBIR3aY6q2OMBM1k4SKgEV4</vt:lpwstr>
  </op:property>
  <op:property fmtid="{D5CDD505-2E9C-101B-9397-08002B2CF9AE}" pid="9" name="_IPGFLOW_P-F011_E-1_FP-2_SP-3_CV-DA4D5332_CN-F9483542">
    <vt:lpwstr>NidEmHz1ttc5wJ9Yt+f67Fig==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F1B04AC_CN-D7A13667">
    <vt:lpwstr>ojLC4jhyOifJNIIpFLZvrn4YjROcgagSDR8xBwJN5JdHG/PoyR73X9obha6UQ14WYRS5TTKK4l2M4uYAUm/K5AcpbMv1dTzncuj+hc6Ko1wxENFU+nHsDV66bxG49gI70TohzSWkS5bWOAxdgy5SpoDxJ0uTXoweiKTvMtZ67P5clyVI6l+i549OB6P9W8whmjTi0krdPUI1B7W7Dn/lCPSVuQEWDqpxV2WDOQdIvH0gs6pDE121lfZmDIQEK1Y</vt:lpwstr>
  </op:property>
  <op:property fmtid="{D5CDD505-2E9C-101B-9397-08002B2CF9AE}" pid="12" name="_IPGFLOW_P-F011_E-1_FP-3_SP-2_CV-B5E8E3D9_CN-750BE216">
    <vt:lpwstr>OtauvtpPZ/pErMUIlIFcAJGI8N3EjnXTzhf+W/Mo2yoRerF8sRGYtTXBLzUktYnozmXkjPDSXluPyRndeyaWah+dcL9gUlB+YG7HepzsB9JEy8wGZQOetH6d3YcDARf2GHHT7yxHEMZjn1DQNhrPjBCRFVMO6nQ9UIBsnF+nrWWQ=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42C580D1_CN-3D764BA3">
    <vt:lpwstr>XiwTssrDhqdHCJX/Ta3+AWanBcO9Mx9NWxAmjr/wPpV6lDfSw6QPM69dmKmG0qGZVFr7/glhjr3UIOpEyZk07xBIMl7QSz1CG95//zc5o7AZndbmBci/YvQtyzj2H0djYdTHk1olUENOklRe+bD7uLo2faaf1nyNj/nF9cqjRfaO8mVZlt4A2gV2AHhZzedUNJGCMul3uXKtxUdbzAsxm1c0p5n5xpxIJc0eBG+c8FDsAHf4CNg69KIRpfuRkEA</vt:lpwstr>
  </op:property>
  <op:property fmtid="{D5CDD505-2E9C-101B-9397-08002B2CF9AE}" pid="15" name="_IPGFLOW_P-F011_E-1_FP-4_SP-2_CV-406ACB87_CN-C13CE455">
    <vt:lpwstr>P6umRx2n4NuKF4vbOk+R0bm/8RoZAwtGCUhV/tGOXLlCh51lXMLedtO+POX4bijHiPCVW5kzxDkXt+MOxU4hKMoSmuWjTJZG0nK8hAlUFve3S3WDO/hjDZpm+f6thwv+ognLnTJiddGBIoB44qWA0XXvjfRAYICCcrODUjO399keGPKc2prMQTcAWnH2QGFVHANukFHqEdW/o+hcoYdYo1A==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E2E4D634_CN-6C97DEC9">
    <vt:lpwstr>XiwTssrDhqdHCJX/Ta3+AbcsS6VgiMwUsXE201B5lnujyV7R++/kZSn6r4+BJGY78328Ofy/2AU11a4UNZHXOOKpdHjamHbYPqdQr6sSj1SLdsVDWS38T7iXGtbG7ysXkP00WTjhMdF1U0bQqzbZv4+rHL1A1y81I04q0zBLu+VfrXO3Y8ShMDuz3wuMvNVmmMD70E4XrXBHZzGB9QhfZPHiyOiLKCFBc633Wpkdp05mQYLciriDoaYzqoZefQG</vt:lpwstr>
  </op:property>
  <op:property fmtid="{D5CDD505-2E9C-101B-9397-08002B2CF9AE}" pid="18" name="_IPGFLOW_P-F011_E-1_FP-5_SP-2_CV-BD6560F1_CN-36F6549">
    <vt:lpwstr>4mrzmUJpOBM7Xj5PLJgy7aY6bD3AKEC0jMaC1yGqcAo1BGpxtXa5zcFoBqzUjBG6liV6yZCP7LNsUW6iE5SEe+XY7DHa68N9ii2z05BhllrdufHKLkNvNoMeLqQPWkXZWmmPVDgWsDApaBUSerPGsbE+AM4Ie4TlEhkoAj0AjJt0=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4572FCF2_CN-1434D339">
    <vt:lpwstr>cJowfy+4KHEQmWc2lePvWENvjCMInhAev0jiXkK9YiXT0IfWWDnC82xYs9Ixw4U+nYsDZb6C1sJNU3ID437hLsVN4tXj+KdBFBVRZVTOqX9pCQkW8q4vcykan1sgJxGwj0bG2q8I8uWpM2BehfAMxtYufW9EOAAGCafFt93zrCyx0NE/jV2vKlSR1RkAHdBc2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D94D862A_CN-86DF7453">
    <vt:lpwstr>XiwTssrDhqdHCJX/Ta3+AdrQbzQbbl2CQKJzsp0TnBD3QFoLce3mJOHp9ADVxOB15YRPG507+sia4LWqnJ/QAJNLxpUY8EMrLAbkxL+y4Qdkz+4ehNkDemOxOYt9OhD0la8wWHjoqLayz1qkaGHtkHCsmxVCqoAKlf30wBFZxVHsx/Uax7d83XwbqN77bAxphoPd3XOrxZAsgm9vumtsfVbxunDw0v4z7j2zxURklcUff4nxUDwOAbubZw/nJyn</vt:lpwstr>
  </op:property>
  <op:property fmtid="{D5CDD505-2E9C-101B-9397-08002B2CF9AE}" pid="24" name="_IPGFLOW_P-F011_E-1_FP-7_SP-2_CV-D0A296D7_CN-FB4FB94F">
    <vt:lpwstr>a1mj/8VY2r+wNT+Qa+Qkw95hIVuPgLJi6kQl1GUIFuLSOBY+wesPn3Agp7tD27jiPHNfAfgQTrGb53kwIm8LKo2uwfuJFFdjThfE99ce2lwe8B/yPBvsJgFIKD2xlwMgzrCQWjczZ+NLThwOaR3OvTJReKAJvxPL4Z6j3D7bupAq9TYIp6lNOR09ilwv1vXhi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AE1D8551_CN-5E47AC11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28" name="_IPGFLOW_P-F011_E-1_FP-8_SP-2_CV-F638363D_CN-E650B4D8">
    <vt:lpwstr>BQMGHVNkbfi7T2ndYKuPJ7QLohfIHKY4hSFxA6YqSYoaQlyTD9HIftFZYPwrAlJTmAsLr2ihaDwvDZCZulHTZZn7X0D7ElrAhdol9kz8oyFdtWo6+khy2nSlKZPO/vdngBdPN71yo4792EjsAuI+fJSGhpspGQMnEZ1kjCg4jzFL9cy061uc7IVnHnotltT4M</vt:lpwstr>
  </op:property>
  <op:property fmtid="{D5CDD505-2E9C-101B-9397-08002B2CF9AE}" pid="29" name="_IPGFLOW_P-F011_E-0_FP-8_CV-60DDE677_CN-73DE9D72">
    <vt:lpwstr>DPSPMK|3|448|2|0</vt:lpwstr>
  </op:property>
</op:Properties>
</file>